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9517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7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64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64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</w:p>
    <w:p>
      <w:pPr>
        <w:pStyle w:val="864"/>
        <w:jc w:val="right"/>
      </w:pPr>
      <w:r>
        <w:rPr>
          <w:rFonts w:eastAsia="Calibri"/>
          <w:bCs/>
          <w:szCs w:val="28"/>
        </w:rPr>
        <w:t xml:space="preserve">24.01</w:t>
      </w:r>
      <w:r>
        <w:rPr>
          <w:rFonts w:eastAsia="Calibri"/>
          <w:bCs/>
          <w:szCs w:val="28"/>
        </w:rPr>
        <w:t xml:space="preserve">.2025</w:t>
      </w:r>
      <w:r/>
    </w:p>
    <w:p>
      <w:pPr>
        <w:pStyle w:val="864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ind w:firstLine="0"/>
        <w:jc w:val="both"/>
        <w:rPr>
          <w:b/>
          <w:bCs/>
          <w:highlight w:val="none"/>
        </w:rPr>
      </w:pPr>
      <w:r>
        <w:rPr>
          <w:b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результатах работы Управления Росреестра по Алтайскому краю </w:t>
        <w:br/>
        <w:t xml:space="preserve">по обследованию пунктов геодезической сети, расположенных на территории региона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</w:pPr>
      <w:r>
        <w:t xml:space="preserve">На</w:t>
      </w:r>
      <w:r>
        <w:t xml:space="preserve"> территории Алтайского края учтено </w:t>
      </w:r>
      <w:r>
        <w:t xml:space="preserve">4086 пунктов </w:t>
      </w:r>
      <w:r>
        <w:t xml:space="preserve">государственной геодезической сети (ГГС)</w:t>
      </w:r>
      <w:r>
        <w:t xml:space="preserve">.</w:t>
      </w:r>
      <w:r>
        <w:t xml:space="preserve">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2024 году Управление Росреестра по Алтайскому краю (Управление) провело визуальный осмотр 617 пунктов государственной геодезической сети (ГГС) на местности, чтобы оценить их сохранность и пригодность для проведения геодезических и картографических работ.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Общее количество обследованных пунктов ГГС Управлением составляет 3015 штук.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Кроме того, Управление осуществляет поиск на местности пунктов государственной нивелирной сети 1 и 2 классов, а также определяет координаты их центров с точностью не более одного метра и устанавливает охранные зоны этих пунктов.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 1646 пунктов, расположенных на территории Алтайского края, координаты с необходимой точностью установлены для 777 пунктов, а охранные зоны внесены в Единый государственный реестр недвижимости. Это составляет 47% от общего количества пунктов.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Владельцам, пользователям, арендаторам земельных участков, а также зданий, строений и сооружений, в конструкциях которых установлены геодезические пункты, следует обеспечить сохранность этих пунктов и знать, что </w:t>
        <w:br/>
        <w:t xml:space="preserve">в пределах границ их охранных зон запрещено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проводить работы, которые могут привести к повреждению или уничтожению пунктов.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Нельзя разрушать, перемещать, засыпать или повреждать элементы пунктов, а также размещать объекты и предметы, которые могут затруднить доступ к пунктам.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Пункты ГГС представляют собой систему геодезических пунктов, закреплённых на местности. Для каждого из них определено положение в единой системе координат и высот. Эти пункты служат основой для проведения геодезических, картографических и кадастровых раб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от, что, в свою очередь, способствует решению множества инженерно-технических задач, актуальных как для народного хозяйства, так и для науки и обороны страны. Например, они обеспечивают геодезическое обеспечение при изучении земельных ресурсов и землепольз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ования, создании кадастра, строительстве, разведке и освоении природных ресурсов.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975" cy="53349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27410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334975" cy="53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0.08pt;height:420.0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64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64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64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64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64"/>
      </w:pPr>
      <w:r/>
      <w:hyperlink r:id="rId12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64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3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4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64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64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ind w:left="0" w:right="0"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0"/>
    <w:next w:val="850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1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0"/>
    <w:next w:val="850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1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1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1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1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1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1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1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1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1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1"/>
    <w:link w:val="855"/>
    <w:uiPriority w:val="99"/>
  </w:style>
  <w:style w:type="character" w:styleId="704">
    <w:name w:val="Footer Char"/>
    <w:basedOn w:val="851"/>
    <w:link w:val="857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57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rPr>
      <w:sz w:val="28"/>
      <w:szCs w:val="28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List Paragraph"/>
    <w:basedOn w:val="85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5">
    <w:name w:val="Header"/>
    <w:basedOn w:val="850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link w:val="855"/>
    <w:uiPriority w:val="99"/>
    <w:rPr>
      <w:sz w:val="28"/>
      <w:szCs w:val="28"/>
    </w:rPr>
  </w:style>
  <w:style w:type="paragraph" w:styleId="857">
    <w:name w:val="Footer"/>
    <w:basedOn w:val="850"/>
    <w:link w:val="85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link w:val="857"/>
    <w:uiPriority w:val="99"/>
    <w:semiHidden/>
    <w:rPr>
      <w:sz w:val="28"/>
      <w:szCs w:val="28"/>
    </w:rPr>
  </w:style>
  <w:style w:type="paragraph" w:styleId="859">
    <w:name w:val="Balloon Text"/>
    <w:basedOn w:val="850"/>
    <w:link w:val="860"/>
    <w:uiPriority w:val="99"/>
    <w:semiHidden/>
    <w:unhideWhenUsed/>
    <w:rPr>
      <w:rFonts w:ascii="Tahoma" w:hAnsi="Tahoma"/>
      <w:sz w:val="16"/>
      <w:szCs w:val="16"/>
    </w:rPr>
  </w:style>
  <w:style w:type="character" w:styleId="860" w:customStyle="1">
    <w:name w:val="Текст выноски Знак"/>
    <w:link w:val="859"/>
    <w:uiPriority w:val="99"/>
    <w:semiHidden/>
    <w:rPr>
      <w:rFonts w:ascii="Tahoma" w:hAnsi="Tahoma" w:cs="Tahoma"/>
      <w:sz w:val="16"/>
      <w:szCs w:val="16"/>
    </w:rPr>
  </w:style>
  <w:style w:type="paragraph" w:styleId="861" w:customStyle="1">
    <w:name w:val="ConsPlusNormal"/>
    <w:rPr>
      <w:sz w:val="28"/>
      <w:szCs w:val="28"/>
    </w:rPr>
  </w:style>
  <w:style w:type="character" w:styleId="862">
    <w:name w:val="Hyperlink"/>
    <w:basedOn w:val="851"/>
    <w:uiPriority w:val="99"/>
    <w:unhideWhenUsed/>
    <w:rPr>
      <w:color w:val="0000ff" w:themeColor="hyperlink"/>
      <w:u w:val="single"/>
    </w:rPr>
  </w:style>
  <w:style w:type="paragraph" w:styleId="863">
    <w:name w:val="Normal (Web)"/>
    <w:basedOn w:val="85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86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Grizli777</Company>
  <DocSecurity>4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revision>7</cp:revision>
  <dcterms:created xsi:type="dcterms:W3CDTF">2023-03-20T01:53:00Z</dcterms:created>
  <dcterms:modified xsi:type="dcterms:W3CDTF">2025-02-04T09:29:40Z</dcterms:modified>
</cp:coreProperties>
</file>